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Attendance Policy</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Purpose</w:t>
      </w:r>
    </w:p>
    <w:p>
      <w:pPr>
        <w:spacing w:after="140"/>
      </w:pPr>
      <w:r>
        <w:rPr>
          <w:rFonts w:ascii="Calibri" w:cs="Calibri" w:eastAsia="Calibri" w:hAnsi="Calibri"/>
          <w:sz w:val="21"/>
          <w:szCs w:val="21"/>
        </w:rPr>
        <w:t xml:space="preserve">Outside the Box ("OTB") recognises that regular attendance is essential to a young person's progress, wellbeing, and safety. This policy sets out how attendance is recorded, monitored, and reported for all young people accessing OTB provision.</w:t>
      </w:r>
    </w:p>
    <w:p>
      <w:pPr>
        <w:pStyle w:val="Heading1"/>
        <w:pBdr>
          <w:bottom w:val="single" w:color="F2751E" w:sz="8" w:space="4"/>
        </w:pBdr>
        <w:spacing w:after="140" w:before="320"/>
      </w:pPr>
      <w:r>
        <w:rPr>
          <w:rFonts w:ascii="Calibri" w:cs="Calibri" w:eastAsia="Calibri" w:hAnsi="Calibri"/>
          <w:b/>
          <w:bCs/>
          <w:color w:val="F2751E"/>
          <w:sz w:val="28"/>
          <w:szCs w:val="28"/>
        </w:rPr>
        <w:t xml:space="preserve">2. Scope</w:t>
      </w:r>
    </w:p>
    <w:p>
      <w:pPr>
        <w:spacing w:after="140"/>
      </w:pPr>
      <w:r>
        <w:rPr>
          <w:rFonts w:ascii="Calibri" w:cs="Calibri" w:eastAsia="Calibri" w:hAnsi="Calibri"/>
          <w:sz w:val="21"/>
          <w:szCs w:val="21"/>
        </w:rPr>
        <w:t xml:space="preserve">This policy applies to all children and young people attending OTB sessions, whether commissioned by a school, local authority, or other referrer.</w:t>
      </w:r>
    </w:p>
    <w:p>
      <w:pPr>
        <w:pStyle w:val="Heading1"/>
        <w:pBdr>
          <w:bottom w:val="single" w:color="F2751E" w:sz="8" w:space="4"/>
        </w:pBdr>
        <w:spacing w:after="140" w:before="320"/>
      </w:pPr>
      <w:r>
        <w:rPr>
          <w:rFonts w:ascii="Calibri" w:cs="Calibri" w:eastAsia="Calibri" w:hAnsi="Calibri"/>
          <w:b/>
          <w:bCs/>
          <w:color w:val="F2751E"/>
          <w:sz w:val="28"/>
          <w:szCs w:val="28"/>
        </w:rPr>
        <w:t xml:space="preserve">3. Recording Attendance</w:t>
      </w:r>
    </w:p>
    <w:p>
      <w:pPr>
        <w:spacing w:after="140"/>
      </w:pPr>
      <w:r>
        <w:rPr>
          <w:rFonts w:ascii="Calibri" w:cs="Calibri" w:eastAsia="Calibri" w:hAnsi="Calibri"/>
          <w:sz w:val="21"/>
          <w:szCs w:val="21"/>
        </w:rPr>
        <w:t xml:space="preserve">Attendance is recorded for every session using Cornwall Council's Alternative Provision recording system, ensuring a consistent and auditable record across all placements.</w:t>
      </w:r>
    </w:p>
    <w:p>
      <w:pPr>
        <w:pStyle w:val="Heading1"/>
        <w:pBdr>
          <w:bottom w:val="single" w:color="F2751E" w:sz="8" w:space="4"/>
        </w:pBdr>
        <w:spacing w:after="140" w:before="320"/>
      </w:pPr>
      <w:r>
        <w:rPr>
          <w:rFonts w:ascii="Calibri" w:cs="Calibri" w:eastAsia="Calibri" w:hAnsi="Calibri"/>
          <w:b/>
          <w:bCs/>
          <w:color w:val="F2751E"/>
          <w:sz w:val="28"/>
          <w:szCs w:val="28"/>
        </w:rPr>
        <w:t xml:space="preserve">4. Reporting Attendance</w:t>
      </w:r>
    </w:p>
    <w:p>
      <w:pPr>
        <w:spacing w:after="140"/>
      </w:pPr>
      <w:r>
        <w:rPr>
          <w:rFonts w:ascii="Calibri" w:cs="Calibri" w:eastAsia="Calibri" w:hAnsi="Calibri"/>
          <w:sz w:val="21"/>
          <w:szCs w:val="21"/>
        </w:rPr>
        <w:t xml:space="preserve">OTB reports attendance daily to each young person's commissioning school, so that schools retain full oversight of attendance as part of their own statutory responsibilities.</w:t>
      </w:r>
    </w:p>
    <w:p>
      <w:pPr>
        <w:spacing w:after="140"/>
      </w:pPr>
      <w:r>
        <w:rPr>
          <w:rFonts w:ascii="Calibri" w:cs="Calibri" w:eastAsia="Calibri" w:hAnsi="Calibri"/>
          <w:sz w:val="21"/>
          <w:szCs w:val="21"/>
        </w:rPr>
        <w:t xml:space="preserve">Where a placement is commissioned directly by a local authority, attendance information is made available to the local authority on request and in line with any commissioning agreement.</w:t>
      </w:r>
    </w:p>
    <w:p>
      <w:pPr>
        <w:pStyle w:val="Heading1"/>
        <w:pBdr>
          <w:bottom w:val="single" w:color="F2751E" w:sz="8" w:space="4"/>
        </w:pBdr>
        <w:spacing w:after="140" w:before="320"/>
      </w:pPr>
      <w:r>
        <w:rPr>
          <w:rFonts w:ascii="Calibri" w:cs="Calibri" w:eastAsia="Calibri" w:hAnsi="Calibri"/>
          <w:b/>
          <w:bCs/>
          <w:color w:val="F2751E"/>
          <w:sz w:val="28"/>
          <w:szCs w:val="28"/>
        </w:rPr>
        <w:t xml:space="preserve">5. Managing Absence</w:t>
      </w:r>
    </w:p>
    <w:p>
      <w:pPr>
        <w:pStyle w:val="ListParagraph"/>
        <w:numPr>
          <w:ilvl w:val="0"/>
          <w:numId w:val="2"/>
        </w:numPr>
        <w:spacing w:after="60"/>
      </w:pPr>
      <w:r>
        <w:rPr>
          <w:rFonts w:ascii="Calibri" w:cs="Calibri" w:eastAsia="Calibri" w:hAnsi="Calibri"/>
          <w:sz w:val="21"/>
          <w:szCs w:val="21"/>
        </w:rPr>
        <w:t xml:space="preserve">Parents/carers or the commissioning school are contacted on the same day if a young person does not attend as expected</w:t>
      </w:r>
    </w:p>
    <w:p>
      <w:pPr>
        <w:pStyle w:val="ListParagraph"/>
        <w:numPr>
          <w:ilvl w:val="0"/>
          <w:numId w:val="2"/>
        </w:numPr>
        <w:spacing w:after="60"/>
      </w:pPr>
      <w:r>
        <w:rPr>
          <w:rFonts w:ascii="Calibri" w:cs="Calibri" w:eastAsia="Calibri" w:hAnsi="Calibri"/>
          <w:sz w:val="21"/>
          <w:szCs w:val="21"/>
        </w:rPr>
        <w:t xml:space="preserve">Reasons for absence are recorded alongside the attendance data</w:t>
      </w:r>
    </w:p>
    <w:p>
      <w:pPr>
        <w:pStyle w:val="ListParagraph"/>
        <w:numPr>
          <w:ilvl w:val="0"/>
          <w:numId w:val="2"/>
        </w:numPr>
        <w:spacing w:after="60"/>
      </w:pPr>
      <w:r>
        <w:rPr>
          <w:rFonts w:ascii="Calibri" w:cs="Calibri" w:eastAsia="Calibri" w:hAnsi="Calibri"/>
          <w:sz w:val="21"/>
          <w:szCs w:val="21"/>
        </w:rPr>
        <w:t xml:space="preserve">Patterns of absence are reviewed by the SEND Lead and leadership team, alongside individual support plan reviews</w:t>
      </w:r>
    </w:p>
    <w:p>
      <w:pPr>
        <w:pStyle w:val="Heading1"/>
        <w:pBdr>
          <w:bottom w:val="single" w:color="F2751E" w:sz="8" w:space="4"/>
        </w:pBdr>
        <w:spacing w:after="140" w:before="320"/>
      </w:pPr>
      <w:r>
        <w:rPr>
          <w:rFonts w:ascii="Calibri" w:cs="Calibri" w:eastAsia="Calibri" w:hAnsi="Calibri"/>
          <w:b/>
          <w:bCs/>
          <w:color w:val="F2751E"/>
          <w:sz w:val="28"/>
          <w:szCs w:val="28"/>
        </w:rPr>
        <w:t xml:space="preserve">6. Attendance as a Safeguarding Indicator</w:t>
      </w:r>
    </w:p>
    <w:p>
      <w:pPr>
        <w:spacing w:after="140"/>
      </w:pPr>
      <w:r>
        <w:rPr>
          <w:rFonts w:ascii="Calibri" w:cs="Calibri" w:eastAsia="Calibri" w:hAnsi="Calibri"/>
          <w:sz w:val="21"/>
          <w:szCs w:val="21"/>
        </w:rPr>
        <w:t xml:space="preserve">OTB recognises that unexplained or worsening absence can be a sign of wider safeguarding concerns, including neglect, exploitation, or unmet mental health needs. Any pattern of concerning absence is discussed with the Designated Safeguarding Lead and, where appropriate, shared with the commissioning school and other relevant agencies.</w:t>
      </w:r>
    </w:p>
    <w:p>
      <w:pPr>
        <w:pStyle w:val="Heading1"/>
        <w:pBdr>
          <w:bottom w:val="single" w:color="F2751E" w:sz="8" w:space="4"/>
        </w:pBdr>
        <w:spacing w:after="140" w:before="320"/>
      </w:pPr>
      <w:r>
        <w:rPr>
          <w:rFonts w:ascii="Calibri" w:cs="Calibri" w:eastAsia="Calibri" w:hAnsi="Calibri"/>
          <w:b/>
          <w:bCs/>
          <w:color w:val="F2751E"/>
          <w:sz w:val="28"/>
          <w:szCs w:val="28"/>
        </w:rPr>
        <w:t xml:space="preserve">7. Working with Schools and Local Authorities</w:t>
      </w:r>
    </w:p>
    <w:p>
      <w:pPr>
        <w:spacing w:after="140"/>
      </w:pPr>
      <w:r>
        <w:rPr>
          <w:rFonts w:ascii="Calibri" w:cs="Calibri" w:eastAsia="Calibri" w:hAnsi="Calibri"/>
          <w:sz w:val="21"/>
          <w:szCs w:val="21"/>
        </w:rPr>
        <w:t xml:space="preserve">OTB works collaboratively with commissioning schools and Cornwall Council to ensure attendance data is accurate, timely, and used constructively to support each young person's engagement and progress.</w:t>
      </w:r>
    </w:p>
    <w:p>
      <w:pPr>
        <w:pStyle w:val="Heading1"/>
        <w:pBdr>
          <w:bottom w:val="single" w:color="F2751E" w:sz="8" w:space="4"/>
        </w:pBdr>
        <w:spacing w:after="140" w:before="320"/>
      </w:pPr>
      <w:r>
        <w:rPr>
          <w:rFonts w:ascii="Calibri" w:cs="Calibri" w:eastAsia="Calibri" w:hAnsi="Calibri"/>
          <w:b/>
          <w:bCs/>
          <w:color w:val="F2751E"/>
          <w:sz w:val="28"/>
          <w:szCs w:val="28"/>
        </w:rPr>
        <w:t xml:space="preserve">8. Monitoring and Review</w:t>
      </w:r>
    </w:p>
    <w:p>
      <w:pPr>
        <w:spacing w:after="140"/>
      </w:pPr>
      <w:r>
        <w:rPr>
          <w:rFonts w:ascii="Calibri" w:cs="Calibri" w:eastAsia="Calibri" w:hAnsi="Calibri"/>
          <w:sz w:val="21"/>
          <w:szCs w:val="21"/>
        </w:rPr>
        <w:t xml:space="preserve">This policy is reviewed annually, ahead of each academic year, or sooner if required by changes to Cornwall Council's recording requirements or DfE attendance guidance.</w:t>
      </w:r>
    </w:p>
    <w:p>
      <w:pPr>
        <w:pStyle w:val="Heading1"/>
        <w:pBdr>
          <w:bottom w:val="single" w:color="F2751E" w:sz="8" w:space="4"/>
        </w:pBdr>
        <w:spacing w:after="140" w:before="320"/>
      </w:pPr>
      <w:r>
        <w:rPr>
          <w:rFonts w:ascii="Calibri" w:cs="Calibri" w:eastAsia="Calibri" w:hAnsi="Calibri"/>
          <w:b/>
          <w:bCs/>
          <w:color w:val="F2751E"/>
          <w:sz w:val="28"/>
          <w:szCs w:val="28"/>
        </w:rPr>
        <w:t xml:space="preserve">9. Contact Information</w:t>
      </w:r>
    </w:p>
    <w:p>
      <w:pPr>
        <w:spacing w:after="140"/>
      </w:pPr>
      <w:r>
        <w:rPr>
          <w:rFonts w:ascii="Calibri" w:cs="Calibri" w:eastAsia="Calibri" w:hAnsi="Calibri"/>
          <w:sz w:val="21"/>
          <w:szCs w:val="21"/>
        </w:rPr>
        <w:t xml:space="preserve">Phone: 07766 168788</w:t>
      </w:r>
    </w:p>
    <w:p>
      <w:pPr>
        <w:spacing w:after="140"/>
      </w:pPr>
      <w:r>
        <w:rPr>
          <w:rFonts w:ascii="Calibri" w:cs="Calibri" w:eastAsia="Calibri" w:hAnsi="Calibri"/>
          <w:sz w:val="21"/>
          <w:szCs w:val="21"/>
        </w:rPr>
        <w:t xml:space="preserve">Email: getusoutthebox@gmail.com</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2026-08-25T09:11:44.164Z</dcterms:created>
  <dcterms:modified xsi:type="dcterms:W3CDTF">2026-08-25T09:11:44.164Z</dcterms:modified>
</cp:coreProperties>
</file>

<file path=docProps/custom.xml><?xml version="1.0" encoding="utf-8"?>
<Properties xmlns="http://schemas.openxmlformats.org/officeDocument/2006/custom-properties" xmlns:vt="http://schemas.openxmlformats.org/officeDocument/2006/docPropsVTypes"/>
</file>