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SEND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Purpose</w:t>
      </w:r>
    </w:p>
    <w:p>
      <w:pPr>
        <w:spacing w:after="140"/>
      </w:pPr>
      <w:r>
        <w:rPr>
          <w:rFonts w:ascii="Calibri" w:cs="Calibri" w:eastAsia="Calibri" w:hAnsi="Calibri"/>
          <w:sz w:val="21"/>
          <w:szCs w:val="21"/>
        </w:rPr>
        <w:t xml:space="preserve">Outside the Box ("OTB") exists to support children and young people with special educational needs and disabilities (SEND) and social, emotional and mental health (SEMH) needs. This policy sets out how we identify, plan for, and review individual needs, and how we work with families, schools, and local authorities to ensure every learner is well supported.</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w:t>
      </w:r>
    </w:p>
    <w:p>
      <w:pPr>
        <w:spacing w:after="140"/>
      </w:pPr>
      <w:r>
        <w:rPr>
          <w:rFonts w:ascii="Calibri" w:cs="Calibri" w:eastAsia="Calibri" w:hAnsi="Calibri"/>
          <w:sz w:val="21"/>
          <w:szCs w:val="21"/>
        </w:rPr>
        <w:t xml:space="preserve">This policy applies to all children and young people attending OTB provision, and to all staff and volunteers involved in planning and delivering sessions.</w:t>
      </w:r>
    </w:p>
    <w:p>
      <w:pPr>
        <w:pStyle w:val="Heading1"/>
        <w:pBdr>
          <w:bottom w:val="single" w:color="F2751E" w:sz="8" w:space="4"/>
        </w:pBdr>
        <w:spacing w:after="140" w:before="320"/>
      </w:pPr>
      <w:r>
        <w:rPr>
          <w:rFonts w:ascii="Calibri" w:cs="Calibri" w:eastAsia="Calibri" w:hAnsi="Calibri"/>
          <w:b/>
          <w:bCs/>
          <w:color w:val="F2751E"/>
          <w:sz w:val="28"/>
          <w:szCs w:val="28"/>
        </w:rPr>
        <w:t xml:space="preserve">3. Definitions</w:t>
      </w:r>
    </w:p>
    <w:p>
      <w:pPr>
        <w:spacing w:after="140"/>
      </w:pPr>
      <w:r>
        <w:rPr>
          <w:rFonts w:ascii="Calibri" w:cs="Calibri" w:eastAsia="Calibri" w:hAnsi="Calibri"/>
          <w:sz w:val="21"/>
          <w:szCs w:val="21"/>
        </w:rPr>
        <w:t xml:space="preserve">A child or young person has SEND if they have a learning difficulty or disability that calls for special educational provision to be made for them, in line with the SEND Code of Practice 2015 and the Children and Families Act 2014. SEND needs are commonly grouped into four broad areas: communication and interaction; cognition and learning; social, emotional and mental health; and sensory and/or physical needs.</w:t>
      </w:r>
    </w:p>
    <w:p>
      <w:pPr>
        <w:pStyle w:val="Heading1"/>
        <w:pBdr>
          <w:bottom w:val="single" w:color="F2751E" w:sz="8" w:space="4"/>
        </w:pBdr>
        <w:spacing w:after="140" w:before="320"/>
      </w:pPr>
      <w:r>
        <w:rPr>
          <w:rFonts w:ascii="Calibri" w:cs="Calibri" w:eastAsia="Calibri" w:hAnsi="Calibri"/>
          <w:b/>
          <w:bCs/>
          <w:color w:val="F2751E"/>
          <w:sz w:val="28"/>
          <w:szCs w:val="28"/>
        </w:rPr>
        <w:t xml:space="preserve">4. Roles and Responsibilities</w:t>
      </w:r>
    </w:p>
    <w:p>
      <w:pPr>
        <w:pStyle w:val="Heading2"/>
        <w:spacing w:after="100" w:before="220"/>
      </w:pPr>
      <w:r>
        <w:rPr>
          <w:rFonts w:ascii="Calibri" w:cs="Calibri" w:eastAsia="Calibri" w:hAnsi="Calibri"/>
          <w:b/>
          <w:bCs/>
          <w:color w:val="123C6E"/>
          <w:sz w:val="24"/>
          <w:szCs w:val="24"/>
        </w:rPr>
        <w:t xml:space="preserve">SEND Lead</w:t>
      </w:r>
    </w:p>
    <w:p>
      <w:pPr>
        <w:spacing w:after="140"/>
      </w:pPr>
      <w:r>
        <w:rPr>
          <w:rFonts w:ascii="Calibri" w:cs="Calibri" w:eastAsia="Calibri" w:hAnsi="Calibri"/>
          <w:sz w:val="21"/>
          <w:szCs w:val="21"/>
        </w:rPr>
        <w:t xml:space="preserve">Luke Bolsin is OTB's SEND Lead. He is a qualified SENDCO and also holds the role of Designated Safeguarding Lead, ensuring that SEND and safeguarding considerations are joined up in practice.</w:t>
      </w:r>
    </w:p>
    <w:p>
      <w:pPr>
        <w:pStyle w:val="Heading2"/>
        <w:spacing w:after="100" w:before="220"/>
      </w:pPr>
      <w:r>
        <w:rPr>
          <w:rFonts w:ascii="Calibri" w:cs="Calibri" w:eastAsia="Calibri" w:hAnsi="Calibri"/>
          <w:b/>
          <w:bCs/>
          <w:color w:val="123C6E"/>
          <w:sz w:val="24"/>
          <w:szCs w:val="24"/>
        </w:rPr>
        <w:t xml:space="preserve">Staff</w:t>
      </w:r>
    </w:p>
    <w:p>
      <w:pPr>
        <w:pStyle w:val="ListParagraph"/>
        <w:numPr>
          <w:ilvl w:val="0"/>
          <w:numId w:val="2"/>
        </w:numPr>
        <w:spacing w:after="60"/>
      </w:pPr>
      <w:r>
        <w:rPr>
          <w:rFonts w:ascii="Calibri" w:cs="Calibri" w:eastAsia="Calibri" w:hAnsi="Calibri"/>
          <w:sz w:val="21"/>
          <w:szCs w:val="21"/>
        </w:rPr>
        <w:t xml:space="preserve">Deliver sessions in line with each learner's individual support plan</w:t>
      </w:r>
    </w:p>
    <w:p>
      <w:pPr>
        <w:pStyle w:val="ListParagraph"/>
        <w:numPr>
          <w:ilvl w:val="0"/>
          <w:numId w:val="2"/>
        </w:numPr>
        <w:spacing w:after="60"/>
      </w:pPr>
      <w:r>
        <w:rPr>
          <w:rFonts w:ascii="Calibri" w:cs="Calibri" w:eastAsia="Calibri" w:hAnsi="Calibri"/>
          <w:sz w:val="21"/>
          <w:szCs w:val="21"/>
        </w:rPr>
        <w:t xml:space="preserve">Use person-centred, trauma-informed approaches as set out in OTB's Behaviour Policy</w:t>
      </w:r>
    </w:p>
    <w:p>
      <w:pPr>
        <w:pStyle w:val="ListParagraph"/>
        <w:numPr>
          <w:ilvl w:val="0"/>
          <w:numId w:val="2"/>
        </w:numPr>
        <w:spacing w:after="60"/>
      </w:pPr>
      <w:r>
        <w:rPr>
          <w:rFonts w:ascii="Calibri" w:cs="Calibri" w:eastAsia="Calibri" w:hAnsi="Calibri"/>
          <w:sz w:val="21"/>
          <w:szCs w:val="21"/>
        </w:rPr>
        <w:t xml:space="preserve">Feed back observations and progress into the reporting system for review</w:t>
      </w:r>
    </w:p>
    <w:p>
      <w:pPr>
        <w:pStyle w:val="ListParagraph"/>
        <w:numPr>
          <w:ilvl w:val="0"/>
          <w:numId w:val="2"/>
        </w:numPr>
        <w:spacing w:after="60"/>
      </w:pPr>
      <w:r>
        <w:rPr>
          <w:rFonts w:ascii="Calibri" w:cs="Calibri" w:eastAsia="Calibri" w:hAnsi="Calibri"/>
          <w:sz w:val="21"/>
          <w:szCs w:val="21"/>
        </w:rPr>
        <w:t xml:space="preserve">Raise any emerging or unmet need with the SEND Lead promptly</w:t>
      </w:r>
    </w:p>
    <w:p>
      <w:pPr>
        <w:pStyle w:val="Heading1"/>
        <w:pBdr>
          <w:bottom w:val="single" w:color="F2751E" w:sz="8" w:space="4"/>
        </w:pBdr>
        <w:spacing w:after="140" w:before="320"/>
      </w:pPr>
      <w:r>
        <w:rPr>
          <w:rFonts w:ascii="Calibri" w:cs="Calibri" w:eastAsia="Calibri" w:hAnsi="Calibri"/>
          <w:b/>
          <w:bCs/>
          <w:color w:val="F2751E"/>
          <w:sz w:val="28"/>
          <w:szCs w:val="28"/>
        </w:rPr>
        <w:t xml:space="preserve">5. Identifying and Recording Needs</w:t>
      </w:r>
    </w:p>
    <w:p>
      <w:pPr>
        <w:spacing w:after="140"/>
      </w:pPr>
      <w:r>
        <w:rPr>
          <w:rFonts w:ascii="Calibri" w:cs="Calibri" w:eastAsia="Calibri" w:hAnsi="Calibri"/>
          <w:sz w:val="21"/>
          <w:szCs w:val="21"/>
        </w:rPr>
        <w:t xml:space="preserve">Needs are identified through information provided by referring schools and local authorities, including Education, Health and Care Plans (EHCPs) where they exist, alongside OTB's own observation and assessment once a young person begins attending.</w:t>
      </w:r>
    </w:p>
    <w:p>
      <w:pPr>
        <w:spacing w:after="140"/>
      </w:pPr>
      <w:r>
        <w:rPr>
          <w:rFonts w:ascii="Calibri" w:cs="Calibri" w:eastAsia="Calibri" w:hAnsi="Calibri"/>
          <w:sz w:val="21"/>
          <w:szCs w:val="21"/>
        </w:rPr>
        <w:t xml:space="preserve">Each learner has an individual support plan recorded on OTB's reporting system, setting out their needs, strategies that work for them, and agreed outcomes.</w:t>
      </w:r>
    </w:p>
    <w:p>
      <w:pPr>
        <w:pStyle w:val="Heading1"/>
        <w:pBdr>
          <w:bottom w:val="single" w:color="F2751E" w:sz="8" w:space="4"/>
        </w:pBdr>
        <w:spacing w:after="140" w:before="320"/>
      </w:pPr>
      <w:r>
        <w:rPr>
          <w:rFonts w:ascii="Calibri" w:cs="Calibri" w:eastAsia="Calibri" w:hAnsi="Calibri"/>
          <w:b/>
          <w:bCs/>
          <w:color w:val="F2751E"/>
          <w:sz w:val="28"/>
          <w:szCs w:val="28"/>
        </w:rPr>
        <w:t xml:space="preserve">6. Review Arrangements</w:t>
      </w:r>
    </w:p>
    <w:p>
      <w:pPr>
        <w:spacing w:after="140"/>
      </w:pPr>
      <w:r>
        <w:rPr>
          <w:rFonts w:ascii="Calibri" w:cs="Calibri" w:eastAsia="Calibri" w:hAnsi="Calibri"/>
          <w:sz w:val="21"/>
          <w:szCs w:val="21"/>
        </w:rPr>
        <w:t xml:space="preserve">Individual support plans are formally reviewed termly as a matter of course, using OTB's reporting system. Reviews also take place at the request of a referring school or local authority, or sooner where a young person's needs or circumstances change significantly.</w:t>
      </w:r>
    </w:p>
    <w:p>
      <w:pPr>
        <w:spacing w:after="140"/>
      </w:pPr>
      <w:r>
        <w:rPr>
          <w:rFonts w:ascii="Calibri" w:cs="Calibri" w:eastAsia="Calibri" w:hAnsi="Calibri"/>
          <w:sz w:val="21"/>
          <w:szCs w:val="21"/>
        </w:rPr>
        <w:t xml:space="preserve">Termly reviews consider progress against agreed outcomes, any changes to strategies or provision, and whether current arrangements continue to meet the young person's needs.</w:t>
      </w:r>
    </w:p>
    <w:p>
      <w:pPr>
        <w:pStyle w:val="Heading1"/>
        <w:pBdr>
          <w:bottom w:val="single" w:color="F2751E" w:sz="8" w:space="4"/>
        </w:pBdr>
        <w:spacing w:after="140" w:before="320"/>
      </w:pPr>
      <w:r>
        <w:rPr>
          <w:rFonts w:ascii="Calibri" w:cs="Calibri" w:eastAsia="Calibri" w:hAnsi="Calibri"/>
          <w:b/>
          <w:bCs/>
          <w:color w:val="F2751E"/>
          <w:sz w:val="28"/>
          <w:szCs w:val="28"/>
        </w:rPr>
        <w:t xml:space="preserve">7. Working with Families, Schools and Local Authorities</w:t>
      </w:r>
    </w:p>
    <w:p>
      <w:pPr>
        <w:spacing w:after="140"/>
      </w:pPr>
      <w:r>
        <w:rPr>
          <w:rFonts w:ascii="Calibri" w:cs="Calibri" w:eastAsia="Calibri" w:hAnsi="Calibri"/>
          <w:sz w:val="21"/>
          <w:szCs w:val="21"/>
        </w:rPr>
        <w:t xml:space="preserve">OTB works in partnership with parents/carers, referring schools, and local authority teams to ensure provision reflects each young person's EHCP or support plan where one exists, and that progress and concerns are communicated promptly and clearly.</w:t>
      </w:r>
    </w:p>
    <w:p>
      <w:pPr>
        <w:pStyle w:val="Heading1"/>
        <w:pBdr>
          <w:bottom w:val="single" w:color="F2751E" w:sz="8" w:space="4"/>
        </w:pBdr>
        <w:spacing w:after="140" w:before="320"/>
      </w:pPr>
      <w:r>
        <w:rPr>
          <w:rFonts w:ascii="Calibri" w:cs="Calibri" w:eastAsia="Calibri" w:hAnsi="Calibri"/>
          <w:b/>
          <w:bCs/>
          <w:color w:val="F2751E"/>
          <w:sz w:val="28"/>
          <w:szCs w:val="28"/>
        </w:rPr>
        <w:t xml:space="preserve">8. Reasonable Adjustments and Inclusion</w:t>
      </w:r>
    </w:p>
    <w:p>
      <w:pPr>
        <w:spacing w:after="140"/>
      </w:pPr>
      <w:r>
        <w:rPr>
          <w:rFonts w:ascii="Calibri" w:cs="Calibri" w:eastAsia="Calibri" w:hAnsi="Calibri"/>
          <w:sz w:val="21"/>
          <w:szCs w:val="21"/>
        </w:rPr>
        <w:t xml:space="preserve">OTB makes reasonable adjustments to activities, environments, and communication in line with the Equality Act 2010, so that all learners can access and benefit from provision. This includes adapting outdoor, water-based, and enrichment activities to meet individual physical, sensory, communication, and emotional regulation needs.</w:t>
      </w:r>
    </w:p>
    <w:p>
      <w:pPr>
        <w:pStyle w:val="Heading1"/>
        <w:pBdr>
          <w:bottom w:val="single" w:color="F2751E" w:sz="8" w:space="4"/>
        </w:pBdr>
        <w:spacing w:after="140" w:before="320"/>
      </w:pPr>
      <w:r>
        <w:rPr>
          <w:rFonts w:ascii="Calibri" w:cs="Calibri" w:eastAsia="Calibri" w:hAnsi="Calibri"/>
          <w:b/>
          <w:bCs/>
          <w:color w:val="F2751E"/>
          <w:sz w:val="28"/>
          <w:szCs w:val="28"/>
        </w:rPr>
        <w:t xml:space="preserve">9. Transition and Reintegration</w:t>
      </w:r>
    </w:p>
    <w:p>
      <w:pPr>
        <w:spacing w:after="140"/>
      </w:pPr>
      <w:r>
        <w:rPr>
          <w:rFonts w:ascii="Calibri" w:cs="Calibri" w:eastAsia="Calibri" w:hAnsi="Calibri"/>
          <w:sz w:val="21"/>
          <w:szCs w:val="21"/>
        </w:rPr>
        <w:t xml:space="preserve">Where appropriate, OTB supports planning for a young person's transition back into mainstream education, further education, or post-16 provision, working with the referring school or local authority on a clear plan, in line with current DfE expectations that alternative provision includes a route back into mainstream wherever realistic.</w:t>
      </w:r>
    </w:p>
    <w:p>
      <w:pPr>
        <w:pStyle w:val="Heading1"/>
        <w:pBdr>
          <w:bottom w:val="single" w:color="F2751E" w:sz="8" w:space="4"/>
        </w:pBdr>
        <w:spacing w:after="140" w:before="320"/>
      </w:pPr>
      <w:r>
        <w:rPr>
          <w:rFonts w:ascii="Calibri" w:cs="Calibri" w:eastAsia="Calibri" w:hAnsi="Calibri"/>
          <w:b/>
          <w:bCs/>
          <w:color w:val="F2751E"/>
          <w:sz w:val="28"/>
          <w:szCs w:val="28"/>
        </w:rPr>
        <w:t xml:space="preserve">10. Training</w:t>
      </w:r>
    </w:p>
    <w:p>
      <w:pPr>
        <w:spacing w:after="140"/>
      </w:pPr>
      <w:r>
        <w:rPr>
          <w:rFonts w:ascii="Calibri" w:cs="Calibri" w:eastAsia="Calibri" w:hAnsi="Calibri"/>
          <w:sz w:val="21"/>
          <w:szCs w:val="21"/>
        </w:rPr>
        <w:t xml:space="preserve">Staff receive training in SEND awareness, SEMH, and trauma-informed practice as part of induction and ongoing CPD, led or coordinated by the SEND Lead.</w:t>
      </w:r>
    </w:p>
    <w:p>
      <w:pPr>
        <w:pStyle w:val="Heading1"/>
        <w:pBdr>
          <w:bottom w:val="single" w:color="F2751E" w:sz="8" w:space="4"/>
        </w:pBdr>
        <w:spacing w:after="140" w:before="320"/>
      </w:pPr>
      <w:r>
        <w:rPr>
          <w:rFonts w:ascii="Calibri" w:cs="Calibri" w:eastAsia="Calibri" w:hAnsi="Calibri"/>
          <w:b/>
          <w:bCs/>
          <w:color w:val="F2751E"/>
          <w:sz w:val="28"/>
          <w:szCs w:val="28"/>
        </w:rPr>
        <w:t xml:space="preserve">11. Monitoring and Review</w:t>
      </w:r>
    </w:p>
    <w:p>
      <w:pPr>
        <w:spacing w:after="140"/>
      </w:pPr>
      <w:r>
        <w:rPr>
          <w:rFonts w:ascii="Calibri" w:cs="Calibri" w:eastAsia="Calibri" w:hAnsi="Calibri"/>
          <w:sz w:val="21"/>
          <w:szCs w:val="21"/>
        </w:rPr>
        <w:t xml:space="preserve">This policy is reviewed annually, ahead of each academic year, or sooner if required by changes to statutory guidance.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12. Contact Information</w:t>
      </w:r>
    </w:p>
    <w:p>
      <w:pPr>
        <w:spacing w:after="140"/>
      </w:pPr>
      <w:r>
        <w:rPr>
          <w:rFonts w:ascii="Calibri" w:cs="Calibri" w:eastAsia="Calibri" w:hAnsi="Calibri"/>
          <w:sz w:val="21"/>
          <w:szCs w:val="21"/>
        </w:rPr>
        <w:t xml:space="preserve">SEND Lead: Luke Bolsin</w:t>
      </w:r>
    </w:p>
    <w:p>
      <w:pPr>
        <w:spacing w:after="140"/>
      </w:pPr>
      <w:r>
        <w:rPr>
          <w:rFonts w:ascii="Calibri" w:cs="Calibri" w:eastAsia="Calibri" w:hAnsi="Calibri"/>
          <w:sz w:val="21"/>
          <w:szCs w:val="21"/>
        </w:rPr>
        <w:t xml:space="preserve">Phone: 07766 168788</w:t>
      </w:r>
    </w:p>
    <w:p>
      <w:pPr>
        <w:spacing w:after="140"/>
      </w:pPr>
      <w:r>
        <w:rPr>
          <w:rFonts w:ascii="Calibri" w:cs="Calibri" w:eastAsia="Calibri" w:hAnsi="Calibri"/>
          <w:sz w:val="21"/>
          <w:szCs w:val="21"/>
        </w:rPr>
        <w:t xml:space="preserve">Email: getusoutthebox@gmail.com</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2026-08-25T09:11:43.708Z</dcterms:created>
  <dcterms:modified xsi:type="dcterms:W3CDTF">2026-08-25T09:11:43.709Z</dcterms:modified>
</cp:coreProperties>
</file>

<file path=docProps/custom.xml><?xml version="1.0" encoding="utf-8"?>
<Properties xmlns="http://schemas.openxmlformats.org/officeDocument/2006/custom-properties" xmlns:vt="http://schemas.openxmlformats.org/officeDocument/2006/docPropsVTypes"/>
</file>