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85725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57250" cy="1057275"/>
                    </a:xfrm>
                    <a:prstGeom prst="rect">
                      <a:avLst/>
                    </a:prstGeom>
                  </pic:spPr>
                </pic:pic>
              </a:graphicData>
            </a:graphic>
          </wp:inline>
        </w:drawing>
      </w:r>
    </w:p>
    <w:p>
      <w:pPr>
        <w:spacing w:after="80"/>
        <w:jc w:val="center"/>
      </w:pPr>
      <w:r>
        <w:rPr>
          <w:rFonts w:ascii="Calibri" w:cs="Calibri" w:eastAsia="Calibri" w:hAnsi="Calibri"/>
          <w:b/>
          <w:bCs/>
          <w:color w:val="F2751E"/>
          <w:sz w:val="40"/>
          <w:szCs w:val="40"/>
        </w:rPr>
        <w:t xml:space="preserve">Safeguarding and Child Protection Policy</w:t>
      </w:r>
    </w:p>
    <w:p>
      <w:pPr>
        <w:spacing w:after="240"/>
        <w:jc w:val="center"/>
      </w:pPr>
      <w:r>
        <w:rPr>
          <w:rFonts w:ascii="Calibri" w:cs="Calibri" w:eastAsia="Calibri" w:hAnsi="Calibri"/>
          <w:b/>
          <w:bCs/>
          <w:color w:val="123C6E"/>
          <w:sz w:val="22"/>
          <w:szCs w:val="22"/>
        </w:rPr>
        <w:t xml:space="preserve">Alternative Provision and Enrichment Provider — Statutory Guidance: Keeping Children Safe in Education (KCSIE) 2026</w:t>
      </w:r>
    </w:p>
    <w:p>
      <w:pPr>
        <w:spacing w:after="40"/>
        <w:jc w:val="center"/>
      </w:pPr>
      <w:r>
        <w:rPr>
          <w:rFonts w:ascii="Calibri" w:cs="Calibri" w:eastAsia="Calibri" w:hAnsi="Calibri"/>
          <w:color w:val="595959"/>
          <w:sz w:val="20"/>
          <w:szCs w:val="20"/>
        </w:rPr>
        <w:t xml:space="preserve">Organisation: Outside the Box Holistic Education &amp; Consultancy</w:t>
      </w:r>
    </w:p>
    <w:p>
      <w:pPr>
        <w:spacing w:after="40"/>
        <w:jc w:val="center"/>
      </w:pPr>
      <w:r>
        <w:rPr>
          <w:rFonts w:ascii="Calibri" w:cs="Calibri" w:eastAsia="Calibri" w:hAnsi="Calibri"/>
          <w:color w:val="595959"/>
          <w:sz w:val="20"/>
          <w:szCs w:val="20"/>
        </w:rPr>
        <w:t xml:space="preserve">Operating Region: Cornwall &amp; beyond</w:t>
      </w:r>
    </w:p>
    <w:p>
      <w:pPr>
        <w:spacing w:after="40"/>
        <w:jc w:val="center"/>
      </w:pPr>
      <w:r>
        <w:rPr>
          <w:rFonts w:ascii="Calibri" w:cs="Calibri" w:eastAsia="Calibri" w:hAnsi="Calibri"/>
          <w:color w:val="595959"/>
          <w:sz w:val="20"/>
          <w:szCs w:val="20"/>
        </w:rPr>
        <w:t xml:space="preserve">Contact Email: getusoutthebox@gmail.com</w:t>
      </w:r>
    </w:p>
    <w:p>
      <w:pPr>
        <w:spacing w:after="40"/>
        <w:jc w:val="center"/>
      </w:pPr>
      <w:r>
        <w:rPr>
          <w:rFonts w:ascii="Calibri" w:cs="Calibri" w:eastAsia="Calibri" w:hAnsi="Calibri"/>
          <w:color w:val="595959"/>
          <w:sz w:val="20"/>
          <w:szCs w:val="20"/>
        </w:rPr>
        <w:t xml:space="preserve">Contact Phone: 07766 168788</w:t>
      </w:r>
    </w:p>
    <w:p>
      <w:pPr>
        <w:spacing w:after="40"/>
        <w:jc w:val="center"/>
      </w:pPr>
      <w:r>
        <w:rPr>
          <w:rFonts w:ascii="Calibri" w:cs="Calibri" w:eastAsia="Calibri" w:hAnsi="Calibri"/>
          <w:color w:val="595959"/>
          <w:sz w:val="20"/>
          <w:szCs w:val="20"/>
        </w:rPr>
        <w:t xml:space="preserve">Website: www.outsidetheboxeducation.org</w:t>
      </w:r>
    </w:p>
    <w:p>
      <w:pPr>
        <w:spacing w:after="300"/>
      </w:pPr>
    </w:p>
    <w:p>
      <w:pPr>
        <w:pStyle w:val="Heading1"/>
        <w:pBdr>
          <w:bottom w:val="single" w:color="F2751E" w:sz="8" w:space="4"/>
        </w:pBdr>
        <w:spacing w:after="140" w:before="320"/>
      </w:pPr>
      <w:r>
        <w:rPr>
          <w:rFonts w:ascii="Calibri" w:cs="Calibri" w:eastAsia="Calibri" w:hAnsi="Calibri"/>
          <w:b/>
          <w:bCs/>
          <w:color w:val="F2751E"/>
          <w:sz w:val="28"/>
          <w:szCs w:val="28"/>
        </w:rPr>
        <w:t xml:space="preserve">1. Purpose</w:t>
      </w:r>
    </w:p>
    <w:p>
      <w:pPr>
        <w:spacing w:after="140"/>
      </w:pPr>
      <w:r>
        <w:rPr>
          <w:rFonts w:ascii="Calibri" w:cs="Calibri" w:eastAsia="Calibri" w:hAnsi="Calibri"/>
          <w:sz w:val="21"/>
          <w:szCs w:val="21"/>
        </w:rPr>
        <w:t xml:space="preserve">The purpose of this policy is to ensure the safety and well-being of all children and young people attending Outside the Box Education. As an alternative provision and enrichment provider, we recognise our statutory responsibility to safeguard and promote the welfare of children in line with Keeping Children Safe in Education (KCSIE) 2026, which comes into force on 1 September 2026 and applies for the 2026-27 academic year.</w:t>
      </w:r>
    </w:p>
    <w:p>
      <w:pPr>
        <w:pStyle w:val="Heading1"/>
        <w:pBdr>
          <w:bottom w:val="single" w:color="F2751E" w:sz="8" w:space="4"/>
        </w:pBdr>
        <w:spacing w:after="140" w:before="320"/>
      </w:pPr>
      <w:r>
        <w:rPr>
          <w:rFonts w:ascii="Calibri" w:cs="Calibri" w:eastAsia="Calibri" w:hAnsi="Calibri"/>
          <w:b/>
          <w:bCs/>
          <w:color w:val="F2751E"/>
          <w:sz w:val="28"/>
          <w:szCs w:val="28"/>
        </w:rPr>
        <w:t xml:space="preserve">2. Scope</w:t>
      </w:r>
    </w:p>
    <w:p>
      <w:pPr>
        <w:spacing w:after="140"/>
      </w:pPr>
      <w:r>
        <w:rPr>
          <w:rFonts w:ascii="Calibri" w:cs="Calibri" w:eastAsia="Calibri" w:hAnsi="Calibri"/>
          <w:sz w:val="21"/>
          <w:szCs w:val="21"/>
        </w:rPr>
        <w:t xml:space="preserve">This policy applies to all employees, volunteers, contractors, and partners working on behalf of Outside the Box Education. It covers all educational, therapeutic, enrichment, and off-site activities, including sea-based, forest, and land-based sessions.</w:t>
      </w:r>
    </w:p>
    <w:p>
      <w:pPr>
        <w:pStyle w:val="Heading1"/>
        <w:pBdr>
          <w:bottom w:val="single" w:color="F2751E" w:sz="8" w:space="4"/>
        </w:pBdr>
        <w:spacing w:after="140" w:before="320"/>
      </w:pPr>
      <w:r>
        <w:rPr>
          <w:rFonts w:ascii="Calibri" w:cs="Calibri" w:eastAsia="Calibri" w:hAnsi="Calibri"/>
          <w:b/>
          <w:bCs/>
          <w:color w:val="F2751E"/>
          <w:sz w:val="28"/>
          <w:szCs w:val="28"/>
        </w:rPr>
        <w:t xml:space="preserve">3. Policy Statement</w:t>
      </w:r>
    </w:p>
    <w:p>
      <w:pPr>
        <w:spacing w:after="140"/>
      </w:pPr>
      <w:r>
        <w:rPr>
          <w:rFonts w:ascii="Calibri" w:cs="Calibri" w:eastAsia="Calibri" w:hAnsi="Calibri"/>
          <w:sz w:val="21"/>
          <w:szCs w:val="21"/>
        </w:rPr>
        <w:t xml:space="preserve">Outside the Box Education is committed to providing a safe, inclusive, and nurturing environment. We believe every child has the right to feel safe, respected, and supported, and we work in partnership with families, schools, and external agencies to safeguard children.</w:t>
      </w:r>
    </w:p>
    <w:p>
      <w:pPr>
        <w:pStyle w:val="Heading1"/>
        <w:pBdr>
          <w:bottom w:val="single" w:color="F2751E" w:sz="8" w:space="4"/>
        </w:pBdr>
        <w:spacing w:after="140" w:before="320"/>
      </w:pPr>
      <w:r>
        <w:rPr>
          <w:rFonts w:ascii="Calibri" w:cs="Calibri" w:eastAsia="Calibri" w:hAnsi="Calibri"/>
          <w:b/>
          <w:bCs/>
          <w:color w:val="F2751E"/>
          <w:sz w:val="28"/>
          <w:szCs w:val="28"/>
        </w:rPr>
        <w:t xml:space="preserve">4. Legal and Policy Framework</w:t>
      </w:r>
    </w:p>
    <w:p>
      <w:pPr>
        <w:pStyle w:val="ListParagraph"/>
        <w:numPr>
          <w:ilvl w:val="0"/>
          <w:numId w:val="2"/>
        </w:numPr>
        <w:spacing w:after="60"/>
      </w:pPr>
      <w:r>
        <w:rPr>
          <w:rFonts w:ascii="Calibri" w:cs="Calibri" w:eastAsia="Calibri" w:hAnsi="Calibri"/>
          <w:sz w:val="21"/>
          <w:szCs w:val="21"/>
        </w:rPr>
        <w:t xml:space="preserve">The Children Act 1989 and 2004</w:t>
      </w:r>
    </w:p>
    <w:p>
      <w:pPr>
        <w:pStyle w:val="ListParagraph"/>
        <w:numPr>
          <w:ilvl w:val="0"/>
          <w:numId w:val="2"/>
        </w:numPr>
        <w:spacing w:after="60"/>
      </w:pPr>
      <w:r>
        <w:rPr>
          <w:rFonts w:ascii="Calibri" w:cs="Calibri" w:eastAsia="Calibri" w:hAnsi="Calibri"/>
          <w:sz w:val="21"/>
          <w:szCs w:val="21"/>
        </w:rPr>
        <w:t xml:space="preserve">Working Together to Safeguard Children (latest edition)</w:t>
      </w:r>
    </w:p>
    <w:p>
      <w:pPr>
        <w:pStyle w:val="ListParagraph"/>
        <w:numPr>
          <w:ilvl w:val="0"/>
          <w:numId w:val="2"/>
        </w:numPr>
        <w:spacing w:after="60"/>
      </w:pPr>
      <w:r>
        <w:rPr>
          <w:rFonts w:ascii="Calibri" w:cs="Calibri" w:eastAsia="Calibri" w:hAnsi="Calibri"/>
          <w:sz w:val="21"/>
          <w:szCs w:val="21"/>
        </w:rPr>
        <w:t xml:space="preserve">Keeping Children Safe in Education (KCSIE) 2026</w:t>
      </w:r>
    </w:p>
    <w:p>
      <w:pPr>
        <w:pStyle w:val="ListParagraph"/>
        <w:numPr>
          <w:ilvl w:val="0"/>
          <w:numId w:val="2"/>
        </w:numPr>
        <w:spacing w:after="60"/>
      </w:pPr>
      <w:r>
        <w:rPr>
          <w:rFonts w:ascii="Calibri" w:cs="Calibri" w:eastAsia="Calibri" w:hAnsi="Calibri"/>
          <w:sz w:val="21"/>
          <w:szCs w:val="21"/>
        </w:rPr>
        <w:t xml:space="preserve">The Education Act 2002</w:t>
      </w:r>
    </w:p>
    <w:p>
      <w:pPr>
        <w:pStyle w:val="ListParagraph"/>
        <w:numPr>
          <w:ilvl w:val="0"/>
          <w:numId w:val="2"/>
        </w:numPr>
        <w:spacing w:after="60"/>
      </w:pPr>
      <w:r>
        <w:rPr>
          <w:rFonts w:ascii="Calibri" w:cs="Calibri" w:eastAsia="Calibri" w:hAnsi="Calibri"/>
          <w:sz w:val="21"/>
          <w:szCs w:val="21"/>
        </w:rPr>
        <w:t xml:space="preserve">Safeguarding Vulnerable Groups Act 2006</w:t>
      </w:r>
    </w:p>
    <w:p>
      <w:pPr>
        <w:pStyle w:val="ListParagraph"/>
        <w:numPr>
          <w:ilvl w:val="0"/>
          <w:numId w:val="2"/>
        </w:numPr>
        <w:spacing w:after="60"/>
      </w:pPr>
      <w:r>
        <w:rPr>
          <w:rFonts w:ascii="Calibri" w:cs="Calibri" w:eastAsia="Calibri" w:hAnsi="Calibri"/>
          <w:sz w:val="21"/>
          <w:szCs w:val="21"/>
        </w:rPr>
        <w:t xml:space="preserve">DfE National Standards for Non-School Alternative Provision (2025, non-statutory)</w:t>
      </w:r>
    </w:p>
    <w:p>
      <w:pPr>
        <w:spacing w:after="140"/>
      </w:pPr>
      <w:r>
        <w:rPr>
          <w:rFonts w:ascii="Calibri" w:cs="Calibri" w:eastAsia="Calibri" w:hAnsi="Calibri"/>
          <w:sz w:val="21"/>
          <w:szCs w:val="21"/>
        </w:rPr>
        <w:t xml:space="preserve">Outside the Box has regard to the DfE's National Standards for Non-School Alternative Provision when reviewing safeguarding, health and safety, and admissions practice, and will adopt further requirements should these standards become mandatory.</w:t>
      </w:r>
    </w:p>
    <w:p>
      <w:pPr>
        <w:pStyle w:val="Heading1"/>
        <w:pBdr>
          <w:bottom w:val="single" w:color="F2751E" w:sz="8" w:space="4"/>
        </w:pBdr>
        <w:spacing w:after="140" w:before="320"/>
      </w:pPr>
      <w:r>
        <w:rPr>
          <w:rFonts w:ascii="Calibri" w:cs="Calibri" w:eastAsia="Calibri" w:hAnsi="Calibri"/>
          <w:b/>
          <w:bCs/>
          <w:color w:val="F2751E"/>
          <w:sz w:val="28"/>
          <w:szCs w:val="28"/>
        </w:rPr>
        <w:t xml:space="preserve">5. Definitions</w:t>
      </w:r>
    </w:p>
    <w:p>
      <w:pPr>
        <w:spacing w:after="140"/>
      </w:pPr>
      <w:r>
        <w:rPr>
          <w:rFonts w:ascii="Calibri" w:cs="Calibri" w:eastAsia="Calibri" w:hAnsi="Calibri"/>
          <w:sz w:val="21"/>
          <w:szCs w:val="21"/>
        </w:rPr>
        <w:t xml:space="preserve">Safeguarding: Protecting children from maltreatment, preventing impairment of health or development, and ensuring safe and effective care.</w:t>
      </w:r>
    </w:p>
    <w:p>
      <w:pPr>
        <w:spacing w:after="140"/>
      </w:pPr>
      <w:r>
        <w:rPr>
          <w:rFonts w:ascii="Calibri" w:cs="Calibri" w:eastAsia="Calibri" w:hAnsi="Calibri"/>
          <w:sz w:val="21"/>
          <w:szCs w:val="21"/>
        </w:rPr>
        <w:t xml:space="preserve">Child Protection: Activities undertaken to protect children suffering or likely to suffer significant harm.</w:t>
      </w:r>
    </w:p>
    <w:p>
      <w:pPr>
        <w:pStyle w:val="Heading1"/>
        <w:pBdr>
          <w:bottom w:val="single" w:color="F2751E" w:sz="8" w:space="4"/>
        </w:pBdr>
        <w:spacing w:after="140" w:before="320"/>
      </w:pPr>
      <w:r>
        <w:rPr>
          <w:rFonts w:ascii="Calibri" w:cs="Calibri" w:eastAsia="Calibri" w:hAnsi="Calibri"/>
          <w:b/>
          <w:bCs/>
          <w:color w:val="F2751E"/>
          <w:sz w:val="28"/>
          <w:szCs w:val="28"/>
        </w:rPr>
        <w:t xml:space="preserve">6. Roles and Responsibilities</w:t>
      </w:r>
    </w:p>
    <w:p>
      <w:pPr>
        <w:pStyle w:val="Heading2"/>
        <w:spacing w:after="100" w:before="220"/>
      </w:pPr>
      <w:r>
        <w:rPr>
          <w:rFonts w:ascii="Calibri" w:cs="Calibri" w:eastAsia="Calibri" w:hAnsi="Calibri"/>
          <w:b/>
          <w:bCs/>
          <w:color w:val="123C6E"/>
          <w:sz w:val="24"/>
          <w:szCs w:val="24"/>
        </w:rPr>
        <w:t xml:space="preserve">Management</w:t>
      </w:r>
    </w:p>
    <w:p>
      <w:pPr>
        <w:pStyle w:val="ListParagraph"/>
        <w:numPr>
          <w:ilvl w:val="0"/>
          <w:numId w:val="2"/>
        </w:numPr>
        <w:spacing w:after="60"/>
      </w:pPr>
      <w:r>
        <w:rPr>
          <w:rFonts w:ascii="Calibri" w:cs="Calibri" w:eastAsia="Calibri" w:hAnsi="Calibri"/>
          <w:sz w:val="21"/>
          <w:szCs w:val="21"/>
        </w:rPr>
        <w:t xml:space="preserve">Ensure effective safeguarding arrangements</w:t>
      </w:r>
    </w:p>
    <w:p>
      <w:pPr>
        <w:pStyle w:val="ListParagraph"/>
        <w:numPr>
          <w:ilvl w:val="0"/>
          <w:numId w:val="2"/>
        </w:numPr>
        <w:spacing w:after="60"/>
      </w:pPr>
      <w:r>
        <w:rPr>
          <w:rFonts w:ascii="Calibri" w:cs="Calibri" w:eastAsia="Calibri" w:hAnsi="Calibri"/>
          <w:sz w:val="21"/>
          <w:szCs w:val="21"/>
        </w:rPr>
        <w:t xml:space="preserve">Provide training and supervision</w:t>
      </w:r>
    </w:p>
    <w:p>
      <w:pPr>
        <w:pStyle w:val="ListParagraph"/>
        <w:numPr>
          <w:ilvl w:val="0"/>
          <w:numId w:val="2"/>
        </w:numPr>
        <w:spacing w:after="60"/>
      </w:pPr>
      <w:r>
        <w:rPr>
          <w:rFonts w:ascii="Calibri" w:cs="Calibri" w:eastAsia="Calibri" w:hAnsi="Calibri"/>
          <w:sz w:val="21"/>
          <w:szCs w:val="21"/>
        </w:rPr>
        <w:t xml:space="preserve">Appoint a Designated Safeguarding Lead (DSL) and Deputy Designated Safeguarding Lead (DDSL)</w:t>
      </w:r>
    </w:p>
    <w:p>
      <w:pPr>
        <w:pStyle w:val="ListParagraph"/>
        <w:numPr>
          <w:ilvl w:val="0"/>
          <w:numId w:val="2"/>
        </w:numPr>
        <w:spacing w:after="60"/>
      </w:pPr>
      <w:r>
        <w:rPr>
          <w:rFonts w:ascii="Calibri" w:cs="Calibri" w:eastAsia="Calibri" w:hAnsi="Calibri"/>
          <w:sz w:val="21"/>
          <w:szCs w:val="21"/>
        </w:rPr>
        <w:t xml:space="preserve">Review safeguarding arrangements annually and following any update to KCSIE</w:t>
      </w:r>
    </w:p>
    <w:p>
      <w:pPr>
        <w:pStyle w:val="Heading2"/>
        <w:spacing w:after="100" w:before="220"/>
      </w:pPr>
      <w:r>
        <w:rPr>
          <w:rFonts w:ascii="Calibri" w:cs="Calibri" w:eastAsia="Calibri" w:hAnsi="Calibri"/>
          <w:b/>
          <w:bCs/>
          <w:color w:val="123C6E"/>
          <w:sz w:val="24"/>
          <w:szCs w:val="24"/>
        </w:rPr>
        <w:t xml:space="preserve">Designated Safeguarding Lead (DSL)</w:t>
      </w:r>
    </w:p>
    <w:p>
      <w:pPr>
        <w:pStyle w:val="ListParagraph"/>
        <w:numPr>
          <w:ilvl w:val="0"/>
          <w:numId w:val="2"/>
        </w:numPr>
        <w:spacing w:after="60"/>
      </w:pPr>
      <w:r>
        <w:rPr>
          <w:rFonts w:ascii="Calibri" w:cs="Calibri" w:eastAsia="Calibri" w:hAnsi="Calibri"/>
          <w:sz w:val="21"/>
          <w:szCs w:val="21"/>
        </w:rPr>
        <w:t xml:space="preserve">Take lead responsibility for safeguarding</w:t>
      </w:r>
    </w:p>
    <w:p>
      <w:pPr>
        <w:pStyle w:val="ListParagraph"/>
        <w:numPr>
          <w:ilvl w:val="0"/>
          <w:numId w:val="2"/>
        </w:numPr>
        <w:spacing w:after="60"/>
      </w:pPr>
      <w:r>
        <w:rPr>
          <w:rFonts w:ascii="Calibri" w:cs="Calibri" w:eastAsia="Calibri" w:hAnsi="Calibri"/>
          <w:sz w:val="21"/>
          <w:szCs w:val="21"/>
        </w:rPr>
        <w:t xml:space="preserve">Liaise with local safeguarding partners including but not limited to the LADO, MARU, Early Help Hub, and relevant school and county referring agents</w:t>
      </w:r>
    </w:p>
    <w:p>
      <w:pPr>
        <w:pStyle w:val="ListParagraph"/>
        <w:numPr>
          <w:ilvl w:val="0"/>
          <w:numId w:val="2"/>
        </w:numPr>
        <w:spacing w:after="60"/>
      </w:pPr>
      <w:r>
        <w:rPr>
          <w:rFonts w:ascii="Calibri" w:cs="Calibri" w:eastAsia="Calibri" w:hAnsi="Calibri"/>
          <w:sz w:val="21"/>
          <w:szCs w:val="21"/>
        </w:rPr>
        <w:t xml:space="preserve">Maintain secure safeguarding records including relevant incident reports and referrals</w:t>
      </w:r>
    </w:p>
    <w:p>
      <w:pPr>
        <w:pStyle w:val="ListParagraph"/>
        <w:numPr>
          <w:ilvl w:val="0"/>
          <w:numId w:val="2"/>
        </w:numPr>
        <w:spacing w:after="60"/>
      </w:pPr>
      <w:r>
        <w:rPr>
          <w:rFonts w:ascii="Calibri" w:cs="Calibri" w:eastAsia="Calibri" w:hAnsi="Calibri"/>
          <w:sz w:val="21"/>
          <w:szCs w:val="21"/>
        </w:rPr>
        <w:t xml:space="preserve">Keep up to date with changes to statutory guidance, including annual KCSIE updates</w:t>
      </w:r>
    </w:p>
    <w:p>
      <w:pPr>
        <w:pStyle w:val="Heading2"/>
        <w:spacing w:after="100" w:before="220"/>
      </w:pPr>
      <w:r>
        <w:rPr>
          <w:rFonts w:ascii="Calibri" w:cs="Calibri" w:eastAsia="Calibri" w:hAnsi="Calibri"/>
          <w:b/>
          <w:bCs/>
          <w:color w:val="123C6E"/>
          <w:sz w:val="24"/>
          <w:szCs w:val="24"/>
        </w:rPr>
        <w:t xml:space="preserve">Staff and Volunteers</w:t>
      </w:r>
    </w:p>
    <w:p>
      <w:pPr>
        <w:pStyle w:val="ListParagraph"/>
        <w:numPr>
          <w:ilvl w:val="0"/>
          <w:numId w:val="2"/>
        </w:numPr>
        <w:spacing w:after="60"/>
      </w:pPr>
      <w:r>
        <w:rPr>
          <w:rFonts w:ascii="Calibri" w:cs="Calibri" w:eastAsia="Calibri" w:hAnsi="Calibri"/>
          <w:sz w:val="21"/>
          <w:szCs w:val="21"/>
        </w:rPr>
        <w:t xml:space="preserve">Attend safeguarding training and read Part One of KCSIE in full</w:t>
      </w:r>
    </w:p>
    <w:p>
      <w:pPr>
        <w:pStyle w:val="ListParagraph"/>
        <w:numPr>
          <w:ilvl w:val="0"/>
          <w:numId w:val="2"/>
        </w:numPr>
        <w:spacing w:after="60"/>
      </w:pPr>
      <w:r>
        <w:rPr>
          <w:rFonts w:ascii="Calibri" w:cs="Calibri" w:eastAsia="Calibri" w:hAnsi="Calibri"/>
          <w:sz w:val="21"/>
          <w:szCs w:val="21"/>
        </w:rPr>
        <w:t xml:space="preserve">Maintain professional boundaries</w:t>
      </w:r>
    </w:p>
    <w:p>
      <w:pPr>
        <w:pStyle w:val="ListParagraph"/>
        <w:numPr>
          <w:ilvl w:val="0"/>
          <w:numId w:val="2"/>
        </w:numPr>
        <w:spacing w:after="60"/>
      </w:pPr>
      <w:r>
        <w:rPr>
          <w:rFonts w:ascii="Calibri" w:cs="Calibri" w:eastAsia="Calibri" w:hAnsi="Calibri"/>
          <w:sz w:val="21"/>
          <w:szCs w:val="21"/>
        </w:rPr>
        <w:t xml:space="preserve">Act in the best interests of the child at all times</w:t>
      </w:r>
    </w:p>
    <w:p>
      <w:pPr>
        <w:pStyle w:val="Heading2"/>
        <w:spacing w:after="100" w:before="220"/>
      </w:pPr>
      <w:r>
        <w:rPr>
          <w:rFonts w:ascii="Calibri" w:cs="Calibri" w:eastAsia="Calibri" w:hAnsi="Calibri"/>
          <w:b/>
          <w:bCs/>
          <w:color w:val="123C6E"/>
          <w:sz w:val="24"/>
          <w:szCs w:val="24"/>
        </w:rPr>
        <w:t xml:space="preserve">Safeguarding Concerns – What Staff Must Do</w:t>
      </w:r>
    </w:p>
    <w:p>
      <w:pPr>
        <w:spacing w:after="140"/>
      </w:pPr>
      <w:r>
        <w:rPr>
          <w:rFonts w:ascii="Calibri" w:cs="Calibri" w:eastAsia="Calibri" w:hAnsi="Calibri"/>
          <w:sz w:val="21"/>
          <w:szCs w:val="21"/>
        </w:rPr>
        <w:t xml:space="preserve">All staff, volunteers, and contractors must act immediately if they have a safeguarding concern. Any concern must be reported to the DSL as soon as possible. Staff must not investigate concerns themselves. If a child is in immediate danger, emergency services must be contacted by calling 999. All concerns must be recorded accurately and promptly, using the child's own words where possible. Any relevant reports must be fed to the DSL or DDSL for collation and submission.</w:t>
      </w:r>
    </w:p>
    <w:p>
      <w:pPr>
        <w:pStyle w:val="Heading1"/>
        <w:pBdr>
          <w:bottom w:val="single" w:color="F2751E" w:sz="8" w:space="4"/>
        </w:pBdr>
        <w:spacing w:after="140" w:before="320"/>
      </w:pPr>
      <w:r>
        <w:rPr>
          <w:rFonts w:ascii="Calibri" w:cs="Calibri" w:eastAsia="Calibri" w:hAnsi="Calibri"/>
          <w:b/>
          <w:bCs/>
          <w:color w:val="F2751E"/>
          <w:sz w:val="28"/>
          <w:szCs w:val="28"/>
        </w:rPr>
        <w:t xml:space="preserve">7. Procedures</w:t>
      </w:r>
    </w:p>
    <w:p>
      <w:pPr>
        <w:pStyle w:val="Heading2"/>
        <w:spacing w:after="100" w:before="220"/>
      </w:pPr>
      <w:r>
        <w:rPr>
          <w:rFonts w:ascii="Calibri" w:cs="Calibri" w:eastAsia="Calibri" w:hAnsi="Calibri"/>
          <w:b/>
          <w:bCs/>
          <w:color w:val="123C6E"/>
          <w:sz w:val="24"/>
          <w:szCs w:val="24"/>
        </w:rPr>
        <w:t xml:space="preserve">Recognising abuse</w:t>
      </w:r>
    </w:p>
    <w:p>
      <w:pPr>
        <w:pStyle w:val="ListParagraph"/>
        <w:numPr>
          <w:ilvl w:val="0"/>
          <w:numId w:val="2"/>
        </w:numPr>
        <w:spacing w:after="60"/>
      </w:pPr>
      <w:r>
        <w:rPr>
          <w:rFonts w:ascii="Calibri" w:cs="Calibri" w:eastAsia="Calibri" w:hAnsi="Calibri"/>
          <w:sz w:val="21"/>
          <w:szCs w:val="21"/>
        </w:rPr>
        <w:t xml:space="preserve">Physical abuse</w:t>
      </w:r>
    </w:p>
    <w:p>
      <w:pPr>
        <w:pStyle w:val="ListParagraph"/>
        <w:numPr>
          <w:ilvl w:val="0"/>
          <w:numId w:val="2"/>
        </w:numPr>
        <w:spacing w:after="60"/>
      </w:pPr>
      <w:r>
        <w:rPr>
          <w:rFonts w:ascii="Calibri" w:cs="Calibri" w:eastAsia="Calibri" w:hAnsi="Calibri"/>
          <w:sz w:val="21"/>
          <w:szCs w:val="21"/>
        </w:rPr>
        <w:t xml:space="preserve">Emotional abuse</w:t>
      </w:r>
    </w:p>
    <w:p>
      <w:pPr>
        <w:pStyle w:val="ListParagraph"/>
        <w:numPr>
          <w:ilvl w:val="0"/>
          <w:numId w:val="2"/>
        </w:numPr>
        <w:spacing w:after="60"/>
      </w:pPr>
      <w:r>
        <w:rPr>
          <w:rFonts w:ascii="Calibri" w:cs="Calibri" w:eastAsia="Calibri" w:hAnsi="Calibri"/>
          <w:sz w:val="21"/>
          <w:szCs w:val="21"/>
        </w:rPr>
        <w:t xml:space="preserve">Sexual abuse</w:t>
      </w:r>
    </w:p>
    <w:p>
      <w:pPr>
        <w:pStyle w:val="ListParagraph"/>
        <w:numPr>
          <w:ilvl w:val="0"/>
          <w:numId w:val="2"/>
        </w:numPr>
        <w:spacing w:after="60"/>
      </w:pPr>
      <w:r>
        <w:rPr>
          <w:rFonts w:ascii="Calibri" w:cs="Calibri" w:eastAsia="Calibri" w:hAnsi="Calibri"/>
          <w:sz w:val="21"/>
          <w:szCs w:val="21"/>
        </w:rPr>
        <w:t xml:space="preserve">Neglect</w:t>
      </w:r>
    </w:p>
    <w:p>
      <w:pPr>
        <w:spacing w:after="140"/>
      </w:pPr>
      <w:r>
        <w:rPr>
          <w:rFonts w:ascii="Calibri" w:cs="Calibri" w:eastAsia="Calibri" w:hAnsi="Calibri"/>
          <w:sz w:val="21"/>
          <w:szCs w:val="21"/>
        </w:rPr>
        <w:t xml:space="preserve">Staff remain alert to the additional barriers some children face in disclosing abuse, including SEND, communication needs, and dependence on adults for care, in line with current KCSIE guidance.</w:t>
      </w:r>
    </w:p>
    <w:p>
      <w:pPr>
        <w:pStyle w:val="Heading2"/>
        <w:spacing w:after="100" w:before="220"/>
      </w:pPr>
      <w:r>
        <w:rPr>
          <w:rFonts w:ascii="Calibri" w:cs="Calibri" w:eastAsia="Calibri" w:hAnsi="Calibri"/>
          <w:b/>
          <w:bCs/>
          <w:color w:val="123C6E"/>
          <w:sz w:val="24"/>
          <w:szCs w:val="24"/>
        </w:rPr>
        <w:t xml:space="preserve">Responding to disclosures</w:t>
      </w:r>
    </w:p>
    <w:p>
      <w:pPr>
        <w:pStyle w:val="ListParagraph"/>
        <w:numPr>
          <w:ilvl w:val="0"/>
          <w:numId w:val="2"/>
        </w:numPr>
        <w:spacing w:after="60"/>
      </w:pPr>
      <w:r>
        <w:rPr>
          <w:rFonts w:ascii="Calibri" w:cs="Calibri" w:eastAsia="Calibri" w:hAnsi="Calibri"/>
          <w:sz w:val="21"/>
          <w:szCs w:val="21"/>
        </w:rPr>
        <w:t xml:space="preserve">Listen and reassure</w:t>
      </w:r>
    </w:p>
    <w:p>
      <w:pPr>
        <w:pStyle w:val="ListParagraph"/>
        <w:numPr>
          <w:ilvl w:val="0"/>
          <w:numId w:val="2"/>
        </w:numPr>
        <w:spacing w:after="60"/>
      </w:pPr>
      <w:r>
        <w:rPr>
          <w:rFonts w:ascii="Calibri" w:cs="Calibri" w:eastAsia="Calibri" w:hAnsi="Calibri"/>
          <w:sz w:val="21"/>
          <w:szCs w:val="21"/>
        </w:rPr>
        <w:t xml:space="preserve">Do not promise confidentiality</w:t>
      </w:r>
    </w:p>
    <w:p>
      <w:pPr>
        <w:pStyle w:val="ListParagraph"/>
        <w:numPr>
          <w:ilvl w:val="0"/>
          <w:numId w:val="2"/>
        </w:numPr>
        <w:spacing w:after="60"/>
      </w:pPr>
      <w:r>
        <w:rPr>
          <w:rFonts w:ascii="Calibri" w:cs="Calibri" w:eastAsia="Calibri" w:hAnsi="Calibri"/>
          <w:sz w:val="21"/>
          <w:szCs w:val="21"/>
        </w:rPr>
        <w:t xml:space="preserve">Record and report immediately</w:t>
      </w:r>
    </w:p>
    <w:p>
      <w:pPr>
        <w:pStyle w:val="Heading1"/>
        <w:pBdr>
          <w:bottom w:val="single" w:color="F2751E" w:sz="8" w:space="4"/>
        </w:pBdr>
        <w:spacing w:after="140" w:before="320"/>
      </w:pPr>
      <w:r>
        <w:rPr>
          <w:rFonts w:ascii="Calibri" w:cs="Calibri" w:eastAsia="Calibri" w:hAnsi="Calibri"/>
          <w:b/>
          <w:bCs/>
          <w:color w:val="F2751E"/>
          <w:sz w:val="28"/>
          <w:szCs w:val="28"/>
        </w:rPr>
        <w:t xml:space="preserve">8. Confidentiality and Information Sharing</w:t>
      </w:r>
    </w:p>
    <w:p>
      <w:pPr>
        <w:spacing w:after="140"/>
      </w:pPr>
      <w:r>
        <w:rPr>
          <w:rFonts w:ascii="Calibri" w:cs="Calibri" w:eastAsia="Calibri" w:hAnsi="Calibri"/>
          <w:sz w:val="21"/>
          <w:szCs w:val="21"/>
        </w:rPr>
        <w:t xml:space="preserve">Information is shared on a need-to-know basis in line with safeguarding guidance and data protection legislation. Where a child moves between settings, the DSL will consider whether wider information sharing is necessary to protect that child or others, in line with current statutory guidance.</w:t>
      </w:r>
    </w:p>
    <w:p>
      <w:pPr>
        <w:pStyle w:val="Heading1"/>
        <w:pBdr>
          <w:bottom w:val="single" w:color="F2751E" w:sz="8" w:space="4"/>
        </w:pBdr>
        <w:spacing w:after="140" w:before="320"/>
      </w:pPr>
      <w:r>
        <w:rPr>
          <w:rFonts w:ascii="Calibri" w:cs="Calibri" w:eastAsia="Calibri" w:hAnsi="Calibri"/>
          <w:b/>
          <w:bCs/>
          <w:color w:val="F2751E"/>
          <w:sz w:val="28"/>
          <w:szCs w:val="28"/>
        </w:rPr>
        <w:t xml:space="preserve">9. Safer Recruitment</w:t>
      </w:r>
    </w:p>
    <w:p>
      <w:pPr>
        <w:spacing w:after="140"/>
      </w:pPr>
      <w:r>
        <w:rPr>
          <w:rFonts w:ascii="Calibri" w:cs="Calibri" w:eastAsia="Calibri" w:hAnsi="Calibri"/>
          <w:sz w:val="21"/>
          <w:szCs w:val="21"/>
        </w:rPr>
        <w:t xml:space="preserve">Outside the Box Education follows safer recruitment practices in line with KCSIE 2026, including DBS checks, online pre-recruitment checks for shortlisted candidates, and safeguarding checks appropriate to each role.</w:t>
      </w:r>
    </w:p>
    <w:p>
      <w:pPr>
        <w:pStyle w:val="Heading1"/>
        <w:pBdr>
          <w:bottom w:val="single" w:color="F2751E" w:sz="8" w:space="4"/>
        </w:pBdr>
        <w:spacing w:after="140" w:before="320"/>
      </w:pPr>
      <w:r>
        <w:rPr>
          <w:rFonts w:ascii="Calibri" w:cs="Calibri" w:eastAsia="Calibri" w:hAnsi="Calibri"/>
          <w:b/>
          <w:bCs/>
          <w:color w:val="F2751E"/>
          <w:sz w:val="28"/>
          <w:szCs w:val="28"/>
        </w:rPr>
        <w:t xml:space="preserve">10. Training and Development</w:t>
      </w:r>
    </w:p>
    <w:p>
      <w:pPr>
        <w:spacing w:after="140"/>
      </w:pPr>
      <w:r>
        <w:rPr>
          <w:rFonts w:ascii="Calibri" w:cs="Calibri" w:eastAsia="Calibri" w:hAnsi="Calibri"/>
          <w:sz w:val="21"/>
          <w:szCs w:val="21"/>
        </w:rPr>
        <w:t xml:space="preserve">All staff and sub-contractors have safeguarding level 2 training and receive regular updates thereafter, including a refresher on KCSIE changes at the start of each academic year.</w:t>
      </w:r>
    </w:p>
    <w:p>
      <w:pPr>
        <w:pStyle w:val="Heading1"/>
        <w:pBdr>
          <w:bottom w:val="single" w:color="F2751E" w:sz="8" w:space="4"/>
        </w:pBdr>
        <w:spacing w:after="140" w:before="320"/>
      </w:pPr>
      <w:r>
        <w:rPr>
          <w:rFonts w:ascii="Calibri" w:cs="Calibri" w:eastAsia="Calibri" w:hAnsi="Calibri"/>
          <w:b/>
          <w:bCs/>
          <w:color w:val="F2751E"/>
          <w:sz w:val="28"/>
          <w:szCs w:val="28"/>
        </w:rPr>
        <w:t xml:space="preserve">11. Low-Level Concerns</w:t>
      </w:r>
    </w:p>
    <w:p>
      <w:pPr>
        <w:spacing w:after="140"/>
      </w:pPr>
      <w:r>
        <w:rPr>
          <w:rFonts w:ascii="Calibri" w:cs="Calibri" w:eastAsia="Calibri" w:hAnsi="Calibri"/>
          <w:sz w:val="21"/>
          <w:szCs w:val="21"/>
        </w:rPr>
        <w:t xml:space="preserve">Outside the Box maintains a culture where low-level concerns about adult behaviour can be raised and recorded, even where they do not meet the threshold for a safeguarding referral, in order to identify patterns early and support a safe culture.</w:t>
      </w:r>
    </w:p>
    <w:p>
      <w:pPr>
        <w:pStyle w:val="Heading1"/>
        <w:pBdr>
          <w:bottom w:val="single" w:color="F2751E" w:sz="8" w:space="4"/>
        </w:pBdr>
        <w:spacing w:after="140" w:before="320"/>
      </w:pPr>
      <w:r>
        <w:rPr>
          <w:rFonts w:ascii="Calibri" w:cs="Calibri" w:eastAsia="Calibri" w:hAnsi="Calibri"/>
          <w:b/>
          <w:bCs/>
          <w:color w:val="F2751E"/>
          <w:sz w:val="28"/>
          <w:szCs w:val="28"/>
        </w:rPr>
        <w:t xml:space="preserve">12. Monitoring and Review</w:t>
      </w:r>
    </w:p>
    <w:p>
      <w:pPr>
        <w:spacing w:after="140"/>
      </w:pPr>
      <w:r>
        <w:rPr>
          <w:rFonts w:ascii="Calibri" w:cs="Calibri" w:eastAsia="Calibri" w:hAnsi="Calibri"/>
          <w:sz w:val="21"/>
          <w:szCs w:val="21"/>
        </w:rPr>
        <w:t xml:space="preserve">This policy is reviewed annually or in response to legislative changes, including annual updates to KCSIE.</w:t>
      </w:r>
    </w:p>
    <w:p>
      <w:pPr>
        <w:pStyle w:val="Heading1"/>
        <w:pBdr>
          <w:bottom w:val="single" w:color="F2751E" w:sz="8" w:space="4"/>
        </w:pBdr>
        <w:spacing w:after="140" w:before="320"/>
      </w:pPr>
      <w:r>
        <w:rPr>
          <w:rFonts w:ascii="Calibri" w:cs="Calibri" w:eastAsia="Calibri" w:hAnsi="Calibri"/>
          <w:b/>
          <w:bCs/>
          <w:color w:val="F2751E"/>
          <w:sz w:val="28"/>
          <w:szCs w:val="28"/>
        </w:rPr>
        <w:t xml:space="preserve">13. Contact Information</w:t>
      </w:r>
    </w:p>
    <w:p>
      <w:pPr>
        <w:spacing w:after="140"/>
      </w:pPr>
      <w:r>
        <w:rPr>
          <w:rFonts w:ascii="Calibri" w:cs="Calibri" w:eastAsia="Calibri" w:hAnsi="Calibri"/>
          <w:sz w:val="21"/>
          <w:szCs w:val="21"/>
        </w:rPr>
        <w:t xml:space="preserve">Designated Safeguarding Lead: L Bolsin</w:t>
      </w:r>
    </w:p>
    <w:p>
      <w:pPr>
        <w:spacing w:after="140"/>
      </w:pPr>
      <w:r>
        <w:rPr>
          <w:rFonts w:ascii="Calibri" w:cs="Calibri" w:eastAsia="Calibri" w:hAnsi="Calibri"/>
          <w:sz w:val="21"/>
          <w:szCs w:val="21"/>
        </w:rPr>
        <w:t xml:space="preserve">Deputy Designated Safeguarding Lead: J Goldring</w:t>
      </w:r>
    </w:p>
    <w:p>
      <w:pPr>
        <w:spacing w:after="140"/>
      </w:pPr>
      <w:r>
        <w:rPr>
          <w:rFonts w:ascii="Calibri" w:cs="Calibri" w:eastAsia="Calibri" w:hAnsi="Calibri"/>
          <w:sz w:val="21"/>
          <w:szCs w:val="21"/>
        </w:rPr>
        <w:t xml:space="preserve">Phone: 07766 168788</w:t>
      </w:r>
    </w:p>
    <w:p>
      <w:pPr>
        <w:spacing w:after="140"/>
      </w:pPr>
      <w:r>
        <w:rPr>
          <w:rFonts w:ascii="Calibri" w:cs="Calibri" w:eastAsia="Calibri" w:hAnsi="Calibri"/>
          <w:sz w:val="21"/>
          <w:szCs w:val="21"/>
        </w:rPr>
        <w:t xml:space="preserve">Email: getusoutthebox@gmail.com or info@outsidetheboxeducation.org</w:t>
      </w:r>
    </w:p>
    <w:p>
      <w:pPr>
        <w:pStyle w:val="Heading1"/>
        <w:pBdr>
          <w:bottom w:val="single" w:color="F2751E" w:sz="8" w:space="4"/>
        </w:pBdr>
        <w:spacing w:after="140" w:before="320"/>
      </w:pPr>
      <w:r>
        <w:rPr>
          <w:rFonts w:ascii="Calibri" w:cs="Calibri" w:eastAsia="Calibri" w:hAnsi="Calibri"/>
          <w:b/>
          <w:bCs/>
          <w:color w:val="F2751E"/>
          <w:sz w:val="28"/>
          <w:szCs w:val="28"/>
        </w:rPr>
        <w:t xml:space="preserve">Version Control</w:t>
      </w:r>
    </w:p>
    <w:p>
      <w:pPr>
        <w:spacing w:after="140"/>
      </w:pPr>
      <w:r>
        <w:rPr>
          <w:rFonts w:ascii="Calibri" w:cs="Calibri" w:eastAsia="Calibri" w:hAnsi="Calibri"/>
          <w:b/>
          <w:bCs/>
          <w:i w:val="false"/>
          <w:iCs w:val="false"/>
          <w:sz w:val="21"/>
          <w:szCs w:val="21"/>
        </w:rPr>
        <w:t xml:space="preserve">Policy Version: </w:t>
      </w:r>
      <w:r>
        <w:rPr>
          <w:rFonts w:ascii="Calibri" w:cs="Calibri" w:eastAsia="Calibri" w:hAnsi="Calibri"/>
          <w:b w:val="false"/>
          <w:bCs w:val="false"/>
          <w:i w:val="false"/>
          <w:iCs w:val="false"/>
          <w:sz w:val="21"/>
          <w:szCs w:val="21"/>
        </w:rPr>
        <w:t xml:space="preserve">2026.1</w:t>
      </w:r>
    </w:p>
    <w:p>
      <w:pPr>
        <w:spacing w:after="140"/>
      </w:pPr>
      <w:r>
        <w:rPr>
          <w:rFonts w:ascii="Calibri" w:cs="Calibri" w:eastAsia="Calibri" w:hAnsi="Calibri"/>
          <w:b/>
          <w:bCs/>
          <w:i w:val="false"/>
          <w:iCs w:val="false"/>
          <w:sz w:val="21"/>
          <w:szCs w:val="21"/>
        </w:rPr>
        <w:t xml:space="preserve">Approved by: </w:t>
      </w:r>
      <w:r>
        <w:rPr>
          <w:rFonts w:ascii="Calibri" w:cs="Calibri" w:eastAsia="Calibri" w:hAnsi="Calibri"/>
          <w:b w:val="false"/>
          <w:bCs w:val="false"/>
          <w:i w:val="false"/>
          <w:iCs w:val="false"/>
          <w:sz w:val="21"/>
          <w:szCs w:val="21"/>
        </w:rPr>
        <w:t xml:space="preserve">Senior Leadership Team</w:t>
      </w:r>
    </w:p>
    <w:p>
      <w:pPr>
        <w:spacing w:after="140"/>
      </w:pPr>
      <w:r>
        <w:rPr>
          <w:rFonts w:ascii="Calibri" w:cs="Calibri" w:eastAsia="Calibri" w:hAnsi="Calibri"/>
          <w:b/>
          <w:bCs/>
          <w:i w:val="false"/>
          <w:iCs w:val="false"/>
          <w:sz w:val="21"/>
          <w:szCs w:val="21"/>
        </w:rPr>
        <w:t xml:space="preserve">Date Approved: </w:t>
      </w:r>
      <w:r>
        <w:rPr>
          <w:rFonts w:ascii="Calibri" w:cs="Calibri" w:eastAsia="Calibri" w:hAnsi="Calibri"/>
          <w:b w:val="false"/>
          <w:bCs w:val="false"/>
          <w:i w:val="false"/>
          <w:iCs w:val="false"/>
          <w:sz w:val="21"/>
          <w:szCs w:val="21"/>
        </w:rPr>
        <w:t xml:space="preserve">September 2026</w:t>
      </w:r>
    </w:p>
    <w:p>
      <w:pPr>
        <w:spacing w:after="140"/>
      </w:pPr>
      <w:r>
        <w:rPr>
          <w:rFonts w:ascii="Calibri" w:cs="Calibri" w:eastAsia="Calibri" w:hAnsi="Calibri"/>
          <w:b/>
          <w:bCs/>
          <w:i w:val="false"/>
          <w:iCs w:val="false"/>
          <w:sz w:val="21"/>
          <w:szCs w:val="21"/>
        </w:rPr>
        <w:t xml:space="preserve">Next Review Date: </w:t>
      </w:r>
      <w:r>
        <w:rPr>
          <w:rFonts w:ascii="Calibri" w:cs="Calibri" w:eastAsia="Calibri" w:hAnsi="Calibri"/>
          <w:b w:val="false"/>
          <w:bCs w:val="false"/>
          <w:i w:val="false"/>
          <w:iCs w:val="false"/>
          <w:sz w:val="21"/>
          <w:szCs w:val="21"/>
        </w:rPr>
        <w:t xml:space="preserve">September 2027</w:t>
      </w:r>
    </w:p>
    <w:sectPr>
      <w:footerReference w:type="default" r:id="rId7"/>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2751E" w:sz="6" w:space="4"/>
      </w:pBdr>
      <w:jc w:val="center"/>
    </w:pPr>
    <w:r>
      <w:rPr>
        <w:rFonts w:ascii="Calibri" w:cs="Calibri" w:eastAsia="Calibri" w:hAnsi="Calibri"/>
        <w:color w:val="F2751E"/>
        <w:sz w:val="18"/>
        <w:szCs w:val="18"/>
      </w:rPr>
      <w:t xml:space="preserve">Outside the Box Education | www.outsidetheboxeducation.org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1fdc29deb566da1698ed03a1265610037f4f0a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2026-08-25T08:47:42.241Z</dcterms:created>
  <dcterms:modified xsi:type="dcterms:W3CDTF">2026-08-25T08:47:42.254Z</dcterms:modified>
</cp:coreProperties>
</file>

<file path=docProps/custom.xml><?xml version="1.0" encoding="utf-8"?>
<Properties xmlns="http://schemas.openxmlformats.org/officeDocument/2006/custom-properties" xmlns:vt="http://schemas.openxmlformats.org/officeDocument/2006/docPropsVTypes"/>
</file>